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0B" w:rsidRDefault="00012A0B" w:rsidP="002367BF">
      <w:pPr>
        <w:bidi/>
        <w:jc w:val="both"/>
        <w:rPr>
          <w:rFonts w:hint="cs"/>
          <w:b/>
          <w:bCs/>
          <w:sz w:val="28"/>
          <w:szCs w:val="28"/>
          <w:rtl/>
          <w:lang w:bidi="ar-MA"/>
        </w:rPr>
      </w:pPr>
    </w:p>
    <w:p w:rsidR="00C95558" w:rsidRDefault="00C95558" w:rsidP="00C95558">
      <w:pPr>
        <w:bidi/>
        <w:jc w:val="both"/>
        <w:rPr>
          <w:rFonts w:hint="cs"/>
          <w:b/>
          <w:bCs/>
          <w:sz w:val="28"/>
          <w:szCs w:val="28"/>
          <w:rtl/>
          <w:lang w:bidi="ar-MA"/>
        </w:rPr>
      </w:pPr>
    </w:p>
    <w:p w:rsidR="00C95558" w:rsidRPr="00C95558" w:rsidRDefault="00C95558" w:rsidP="00C95558">
      <w:pPr>
        <w:bidi/>
        <w:jc w:val="center"/>
        <w:rPr>
          <w:rFonts w:hint="cs"/>
          <w:b/>
          <w:bCs/>
          <w:sz w:val="40"/>
          <w:szCs w:val="40"/>
          <w:u w:val="single"/>
          <w:rtl/>
          <w:lang w:bidi="ar-MA"/>
        </w:rPr>
      </w:pPr>
      <w:r>
        <w:rPr>
          <w:rFonts w:hint="cs"/>
          <w:b/>
          <w:bCs/>
          <w:sz w:val="40"/>
          <w:szCs w:val="40"/>
          <w:u w:val="single"/>
          <w:rtl/>
          <w:lang w:bidi="ar-MA"/>
        </w:rPr>
        <w:t>بلاغ صحفي</w:t>
      </w:r>
    </w:p>
    <w:p w:rsidR="006579CA" w:rsidRDefault="006579CA" w:rsidP="00C95558">
      <w:pPr>
        <w:bidi/>
        <w:jc w:val="center"/>
        <w:rPr>
          <w:rFonts w:hint="cs"/>
          <w:b/>
          <w:bCs/>
          <w:sz w:val="28"/>
          <w:szCs w:val="28"/>
          <w:rtl/>
          <w:lang w:bidi="ar-MA"/>
        </w:rPr>
      </w:pPr>
    </w:p>
    <w:p w:rsidR="00012A0B" w:rsidRDefault="00C95558" w:rsidP="006579CA">
      <w:pPr>
        <w:bidi/>
        <w:jc w:val="center"/>
        <w:rPr>
          <w:rFonts w:hint="cs"/>
          <w:b/>
          <w:bCs/>
          <w:sz w:val="36"/>
          <w:szCs w:val="36"/>
          <w:rtl/>
          <w:lang w:bidi="ar-MA"/>
        </w:rPr>
      </w:pPr>
      <w:r w:rsidRPr="006579CA">
        <w:rPr>
          <w:rFonts w:hint="cs"/>
          <w:b/>
          <w:bCs/>
          <w:sz w:val="36"/>
          <w:szCs w:val="36"/>
          <w:rtl/>
          <w:lang w:bidi="ar-MA"/>
        </w:rPr>
        <w:t>الدورة الثانية عشرة لمهرجان</w:t>
      </w:r>
      <w:r w:rsidR="006579CA">
        <w:rPr>
          <w:rFonts w:hint="cs"/>
          <w:b/>
          <w:bCs/>
          <w:sz w:val="36"/>
          <w:szCs w:val="36"/>
          <w:rtl/>
          <w:lang w:bidi="ar-MA"/>
        </w:rPr>
        <w:t xml:space="preserve"> جامعة القاضي عياض</w:t>
      </w:r>
      <w:r w:rsidRPr="006579CA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6579CA">
        <w:rPr>
          <w:rFonts w:hint="cs"/>
          <w:b/>
          <w:bCs/>
          <w:sz w:val="36"/>
          <w:szCs w:val="36"/>
          <w:rtl/>
          <w:lang w:bidi="ar-MA"/>
        </w:rPr>
        <w:t>ل</w:t>
      </w:r>
      <w:r w:rsidRPr="006579CA">
        <w:rPr>
          <w:rFonts w:hint="cs"/>
          <w:b/>
          <w:bCs/>
          <w:sz w:val="36"/>
          <w:szCs w:val="36"/>
          <w:rtl/>
          <w:lang w:bidi="ar-MA"/>
        </w:rPr>
        <w:t>إبداع الطالب</w:t>
      </w:r>
    </w:p>
    <w:p w:rsidR="006579CA" w:rsidRPr="006579CA" w:rsidRDefault="006579CA" w:rsidP="006579CA">
      <w:pPr>
        <w:bidi/>
        <w:jc w:val="center"/>
        <w:rPr>
          <w:b/>
          <w:bCs/>
          <w:sz w:val="36"/>
          <w:szCs w:val="36"/>
          <w:lang w:bidi="ar-MA"/>
        </w:rPr>
      </w:pPr>
    </w:p>
    <w:p w:rsidR="009D7109" w:rsidRPr="00012A0B" w:rsidRDefault="0038285D" w:rsidP="00C95558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012A0B">
        <w:rPr>
          <w:rFonts w:hint="cs"/>
          <w:b/>
          <w:bCs/>
          <w:sz w:val="28"/>
          <w:szCs w:val="28"/>
          <w:rtl/>
          <w:lang w:bidi="ar-MA"/>
        </w:rPr>
        <w:t xml:space="preserve">استمرارا لدور الجامعة في اكتشاف المواهب وتأطيرها وسعيا منها </w:t>
      </w:r>
      <w:r w:rsidR="002367BF" w:rsidRPr="00012A0B">
        <w:rPr>
          <w:rFonts w:hint="cs"/>
          <w:b/>
          <w:bCs/>
          <w:sz w:val="28"/>
          <w:szCs w:val="28"/>
          <w:rtl/>
          <w:lang w:bidi="ar-MA"/>
        </w:rPr>
        <w:t xml:space="preserve">إلى </w:t>
      </w:r>
      <w:r w:rsidRPr="00012A0B">
        <w:rPr>
          <w:rFonts w:hint="cs"/>
          <w:b/>
          <w:bCs/>
          <w:sz w:val="28"/>
          <w:szCs w:val="28"/>
          <w:rtl/>
          <w:lang w:bidi="ar-MA"/>
        </w:rPr>
        <w:t xml:space="preserve">التوجيه وخلق فرص التكافؤ وضبط معايير </w:t>
      </w:r>
      <w:r w:rsidR="006579CA" w:rsidRPr="00012A0B">
        <w:rPr>
          <w:rFonts w:hint="cs"/>
          <w:b/>
          <w:bCs/>
          <w:sz w:val="28"/>
          <w:szCs w:val="28"/>
          <w:rtl/>
          <w:lang w:bidi="ar-MA"/>
        </w:rPr>
        <w:t>الإبداع</w:t>
      </w:r>
      <w:r w:rsidRPr="00012A0B">
        <w:rPr>
          <w:rFonts w:hint="cs"/>
          <w:b/>
          <w:bCs/>
          <w:sz w:val="28"/>
          <w:szCs w:val="28"/>
          <w:rtl/>
          <w:lang w:bidi="ar-MA"/>
        </w:rPr>
        <w:t xml:space="preserve"> في صفوف طلابها فإن جامعة القاضي عياض بفروعها الأربعة (مراكش، الصويرة، آسفي وقلعة السراغنة) </w:t>
      </w:r>
      <w:r w:rsidR="00C95558" w:rsidRPr="00012A0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،</w:t>
      </w:r>
      <w:r w:rsidRPr="00012A0B">
        <w:rPr>
          <w:rFonts w:hint="cs"/>
          <w:b/>
          <w:bCs/>
          <w:sz w:val="28"/>
          <w:szCs w:val="28"/>
          <w:rtl/>
          <w:lang w:bidi="ar-MA"/>
        </w:rPr>
        <w:t>تنظم الدورة الثانية عشرة لمهرجان إبداع الطالب من الفترة الممتدة من 21 إلى 26 مارس 2022 تحت شعار " الإبداع من أجل جامعة متجددة"</w:t>
      </w:r>
      <w:r w:rsidR="00C95558" w:rsidRPr="00C95558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r w:rsidR="00C95558">
        <w:rPr>
          <w:rFonts w:ascii="inherit" w:eastAsia="Times New Roman" w:hAnsi="inherit" w:cs="Times New Roman" w:hint="cs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في</w:t>
      </w:r>
      <w:r w:rsidR="00C95558" w:rsidRPr="00012A0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مجالات الحقول الإبداعية التالية: المسرح – الغناء الجماعي – الغناء الفردي – العزف الآلي – القصة – الشعر – الفنون التشكيلية – السمعي البصري – الفوتوغرافيا</w:t>
      </w:r>
      <w:r w:rsidR="00C95558">
        <w:rPr>
          <w:rFonts w:ascii="inherit" w:eastAsia="Times New Roman" w:hAnsi="inherit" w:cs="Times New Roman" w:hint="cs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وذلك برحاب كلية العلوم السملالية، المدرسة العليا للأساتذة، كلية اللغة العربية وكلية العلوم و التقنيات بمراكش</w:t>
      </w:r>
    </w:p>
    <w:p w:rsidR="0038285D" w:rsidRPr="00362ED4" w:rsidRDefault="0038285D" w:rsidP="002367BF">
      <w:pPr>
        <w:bidi/>
        <w:jc w:val="both"/>
        <w:rPr>
          <w:b/>
          <w:bCs/>
          <w:sz w:val="28"/>
          <w:szCs w:val="28"/>
          <w:lang w:bidi="ar-MA"/>
        </w:rPr>
      </w:pPr>
      <w:bookmarkStart w:id="0" w:name="_GoBack"/>
      <w:r w:rsidRPr="00362ED4">
        <w:rPr>
          <w:rFonts w:hint="cs"/>
          <w:b/>
          <w:bCs/>
          <w:sz w:val="28"/>
          <w:szCs w:val="28"/>
          <w:rtl/>
          <w:lang w:bidi="ar-MA"/>
        </w:rPr>
        <w:t xml:space="preserve">وحيث أن الفضاء الجامعي يعد قبلة تمكن الطالب من السير البيداغوجي الذي يوافق إمكاناته، فإنه أيضا </w:t>
      </w:r>
      <w:r w:rsidR="002367BF" w:rsidRPr="00362ED4">
        <w:rPr>
          <w:rFonts w:hint="cs"/>
          <w:b/>
          <w:bCs/>
          <w:sz w:val="28"/>
          <w:szCs w:val="28"/>
          <w:rtl/>
          <w:lang w:bidi="ar-MA"/>
        </w:rPr>
        <w:t>م</w:t>
      </w:r>
      <w:r w:rsidRPr="00362ED4">
        <w:rPr>
          <w:rFonts w:hint="cs"/>
          <w:b/>
          <w:bCs/>
          <w:sz w:val="28"/>
          <w:szCs w:val="28"/>
          <w:rtl/>
          <w:lang w:bidi="ar-MA"/>
        </w:rPr>
        <w:t>سرحا خصبا لتحفيز هذه الإمكانيات وتنمية الثقة في القدرات المكتسبة ودمجها في إطار إبداع ثقافي-فني منتظم.</w:t>
      </w:r>
      <w:bookmarkEnd w:id="0"/>
    </w:p>
    <w:p w:rsidR="00012A0B" w:rsidRPr="00012A0B" w:rsidRDefault="00362ED4" w:rsidP="00362ED4">
      <w:pPr>
        <w:bidi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inherit" w:eastAsia="Times New Roman" w:hAnsi="inherit" w:cs="Times New Roman" w:hint="cs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بالإضافة إلى</w:t>
      </w:r>
      <w:r w:rsidR="00012A0B" w:rsidRPr="00012A0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طابعها الثقافي والفني الإبداعي، ستتميز هذه الأيام بالتنافس،  وانفتاح الطلبة على تجارب وخبرات زملائهم في باقي المؤسسات الجامعية.</w:t>
      </w:r>
    </w:p>
    <w:p w:rsidR="00012A0B" w:rsidRPr="00012A0B" w:rsidRDefault="00012A0B" w:rsidP="00012A0B">
      <w:pPr>
        <w:bidi/>
        <w:jc w:val="both"/>
        <w:rPr>
          <w:b/>
          <w:bCs/>
          <w:color w:val="FF0000"/>
          <w:sz w:val="28"/>
          <w:szCs w:val="28"/>
          <w:lang w:bidi="ar-MA"/>
        </w:rPr>
      </w:pPr>
    </w:p>
    <w:p w:rsidR="00012A0B" w:rsidRPr="00362ED4" w:rsidRDefault="00012A0B" w:rsidP="00012A0B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012A0B" w:rsidRPr="00012A0B" w:rsidRDefault="00012A0B">
      <w:pPr>
        <w:bidi/>
        <w:jc w:val="both"/>
        <w:rPr>
          <w:b/>
          <w:bCs/>
          <w:sz w:val="28"/>
          <w:szCs w:val="28"/>
          <w:lang w:bidi="ar-MA"/>
        </w:rPr>
      </w:pPr>
    </w:p>
    <w:sectPr w:rsidR="00012A0B" w:rsidRPr="00012A0B" w:rsidSect="008923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5C" w:rsidRDefault="00E8485C" w:rsidP="00C95558">
      <w:pPr>
        <w:spacing w:after="0" w:line="240" w:lineRule="auto"/>
      </w:pPr>
      <w:r>
        <w:separator/>
      </w:r>
    </w:p>
  </w:endnote>
  <w:endnote w:type="continuationSeparator" w:id="1">
    <w:p w:rsidR="00E8485C" w:rsidRDefault="00E8485C" w:rsidP="00C9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5C" w:rsidRDefault="00E8485C" w:rsidP="00C95558">
      <w:pPr>
        <w:spacing w:after="0" w:line="240" w:lineRule="auto"/>
      </w:pPr>
      <w:r>
        <w:separator/>
      </w:r>
    </w:p>
  </w:footnote>
  <w:footnote w:type="continuationSeparator" w:id="1">
    <w:p w:rsidR="00E8485C" w:rsidRDefault="00E8485C" w:rsidP="00C9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6" w:type="dxa"/>
      <w:tblInd w:w="-1026" w:type="dxa"/>
      <w:tblBorders>
        <w:bottom w:val="single" w:sz="4" w:space="0" w:color="auto"/>
      </w:tblBorders>
      <w:tblLayout w:type="fixed"/>
      <w:tblCellMar>
        <w:top w:w="108" w:type="dxa"/>
        <w:bottom w:w="108" w:type="dxa"/>
      </w:tblCellMar>
      <w:tblLook w:val="0000"/>
    </w:tblPr>
    <w:tblGrid>
      <w:gridCol w:w="4978"/>
      <w:gridCol w:w="3676"/>
      <w:gridCol w:w="2362"/>
    </w:tblGrid>
    <w:tr w:rsidR="00C95558" w:rsidRPr="00AD18ED" w:rsidTr="00FD3CC5">
      <w:trPr>
        <w:trHeight w:val="1169"/>
      </w:trPr>
      <w:tc>
        <w:tcPr>
          <w:tcW w:w="4978" w:type="dxa"/>
        </w:tcPr>
        <w:p w:rsidR="00C95558" w:rsidRPr="00AD18ED" w:rsidRDefault="00C95558" w:rsidP="00FD3CC5">
          <w:pPr>
            <w:tabs>
              <w:tab w:val="left" w:pos="1569"/>
            </w:tabs>
            <w:ind w:firstLine="708"/>
          </w:pPr>
        </w:p>
      </w:tc>
      <w:tc>
        <w:tcPr>
          <w:tcW w:w="3676" w:type="dxa"/>
          <w:vAlign w:val="center"/>
        </w:tcPr>
        <w:p w:rsidR="00C95558" w:rsidRPr="00AD18ED" w:rsidRDefault="00C95558" w:rsidP="00FD3CC5">
          <w:pPr>
            <w:pStyle w:val="En-tte"/>
            <w:bidi/>
            <w:snapToGrid w:val="0"/>
            <w:jc w:val="center"/>
            <w:rPr>
              <w:b/>
              <w:bCs/>
              <w:sz w:val="28"/>
              <w:szCs w:val="28"/>
              <w:rtl/>
              <w:lang w:eastAsia="ar-MA" w:bidi="ar-MA"/>
            </w:rPr>
          </w:pPr>
          <w:r w:rsidRPr="00AD18ED">
            <w:rPr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C95558" w:rsidRPr="00AD18ED" w:rsidRDefault="00C95558" w:rsidP="00FD3CC5">
          <w:pPr>
            <w:pStyle w:val="En-tte"/>
            <w:bidi/>
            <w:snapToGrid w:val="0"/>
            <w:jc w:val="center"/>
            <w:rPr>
              <w:b/>
              <w:bCs/>
              <w:sz w:val="28"/>
              <w:szCs w:val="28"/>
              <w:rtl/>
              <w:lang w:eastAsia="ar-MA" w:bidi="ar-MA"/>
            </w:rPr>
          </w:pPr>
          <w:r>
            <w:rPr>
              <w:b/>
              <w:bCs/>
              <w:sz w:val="28"/>
              <w:szCs w:val="28"/>
              <w:rtl/>
              <w:lang w:eastAsia="ar-MA" w:bidi="ar-MA"/>
            </w:rPr>
            <w:t>جامعة القاضي عياض</w:t>
          </w:r>
        </w:p>
        <w:p w:rsidR="00C95558" w:rsidRPr="00AD18ED" w:rsidRDefault="00C95558" w:rsidP="00FD3CC5">
          <w:pPr>
            <w:pStyle w:val="En-tte"/>
            <w:bidi/>
            <w:snapToGrid w:val="0"/>
            <w:jc w:val="center"/>
            <w:rPr>
              <w:b/>
              <w:bCs/>
              <w:sz w:val="20"/>
              <w:szCs w:val="16"/>
              <w:rtl/>
              <w:lang w:eastAsia="ar-MA" w:bidi="ar-MA"/>
            </w:rPr>
          </w:pPr>
          <w:r w:rsidRPr="00AD18ED">
            <w:rPr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2362" w:type="dxa"/>
          <w:vAlign w:val="center"/>
        </w:tcPr>
        <w:p w:rsidR="00C95558" w:rsidRPr="00AD18ED" w:rsidRDefault="00C95558" w:rsidP="00FD3CC5">
          <w:pPr>
            <w:pStyle w:val="En-tte"/>
            <w:snapToGrid w:val="0"/>
            <w:jc w:val="center"/>
          </w:pPr>
          <w:r>
            <w:rPr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542925" cy="762000"/>
                <wp:effectExtent l="19050" t="0" r="9525" b="0"/>
                <wp:docPr id="4" name="Image 1" descr="C:\Users\khaoula\Downloads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khaoula\Downloads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5558" w:rsidRDefault="00C95558" w:rsidP="00C9555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5D"/>
    <w:rsid w:val="00012A0B"/>
    <w:rsid w:val="002367BF"/>
    <w:rsid w:val="00351D7E"/>
    <w:rsid w:val="00362ED4"/>
    <w:rsid w:val="0038285D"/>
    <w:rsid w:val="006579CA"/>
    <w:rsid w:val="006956B9"/>
    <w:rsid w:val="008923BF"/>
    <w:rsid w:val="00C95558"/>
    <w:rsid w:val="00E8485C"/>
    <w:rsid w:val="00F4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9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5558"/>
  </w:style>
  <w:style w:type="paragraph" w:styleId="Pieddepage">
    <w:name w:val="footer"/>
    <w:basedOn w:val="Normal"/>
    <w:link w:val="PieddepageCar"/>
    <w:uiPriority w:val="99"/>
    <w:semiHidden/>
    <w:unhideWhenUsed/>
    <w:rsid w:val="00C9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pc</cp:lastModifiedBy>
  <cp:revision>2</cp:revision>
  <dcterms:created xsi:type="dcterms:W3CDTF">2022-03-18T17:13:00Z</dcterms:created>
  <dcterms:modified xsi:type="dcterms:W3CDTF">2022-03-18T17:13:00Z</dcterms:modified>
</cp:coreProperties>
</file>