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57" w:rsidRPr="00622CD0" w:rsidRDefault="00172157" w:rsidP="00172157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Edition 2016 du concours international</w:t>
      </w:r>
    </w:p>
    <w:p w:rsidR="00172157" w:rsidRPr="00622CD0" w:rsidRDefault="00172157" w:rsidP="00172157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« </w:t>
      </w:r>
      <w:r w:rsidRPr="00622CD0">
        <w:rPr>
          <w:b/>
          <w:bCs/>
          <w:i/>
          <w:iCs/>
          <w:sz w:val="40"/>
          <w:szCs w:val="40"/>
        </w:rPr>
        <w:t>Ma thèse en 180 secondes »</w:t>
      </w:r>
      <w:r w:rsidR="00474C71">
        <w:rPr>
          <w:b/>
          <w:bCs/>
          <w:i/>
          <w:iCs/>
          <w:sz w:val="40"/>
          <w:szCs w:val="40"/>
        </w:rPr>
        <w:t>(T_180s_2016)</w:t>
      </w:r>
    </w:p>
    <w:p w:rsidR="00172157" w:rsidRPr="00622CD0" w:rsidRDefault="00172157" w:rsidP="00474C7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F3DEF" w:rsidRPr="00622CD0" w:rsidRDefault="00CC0540" w:rsidP="00474C71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  <w:r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>Feuille de route</w:t>
      </w:r>
      <w:r w:rsidR="00734059"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 xml:space="preserve"> du concours </w:t>
      </w:r>
      <w:r w:rsidR="00474C71" w:rsidRPr="00474C71">
        <w:rPr>
          <w:rFonts w:asciiTheme="majorHAnsi" w:hAnsiTheme="majorHAnsi" w:cstheme="majorBidi"/>
          <w:b/>
          <w:bCs/>
          <w:sz w:val="32"/>
          <w:szCs w:val="32"/>
          <w:u w:val="single"/>
        </w:rPr>
        <w:t>(T_180s_2016)</w:t>
      </w:r>
      <w:r w:rsidR="00474C71">
        <w:rPr>
          <w:rFonts w:asciiTheme="majorHAnsi" w:hAnsiTheme="majorHAnsi" w:cstheme="majorBidi"/>
          <w:b/>
          <w:bCs/>
          <w:sz w:val="32"/>
          <w:szCs w:val="32"/>
          <w:u w:val="single"/>
        </w:rPr>
        <w:t xml:space="preserve"> à l’UCA</w:t>
      </w:r>
    </w:p>
    <w:p w:rsidR="00CC0540" w:rsidRPr="00622CD0" w:rsidRDefault="00CC0540" w:rsidP="00CC0540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</w:p>
    <w:p w:rsidR="0048450A" w:rsidRPr="00622CD0" w:rsidRDefault="0048450A" w:rsidP="0048450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lang w:eastAsia="fr-FR"/>
        </w:rPr>
      </w:pPr>
    </w:p>
    <w:p w:rsidR="00734059" w:rsidRPr="00622CD0" w:rsidRDefault="00734059" w:rsidP="00C04557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  <w:lang w:eastAsia="fr-FR"/>
        </w:rPr>
      </w:pPr>
    </w:p>
    <w:p w:rsidR="00160EE3" w:rsidRPr="00622CD0" w:rsidRDefault="00C04557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Le 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04 janvier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2016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 :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Lancement du concours via un communiqué de presse CNRST-UM5R relayé par les sites web des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12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universités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publiques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participantes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.</w:t>
      </w:r>
    </w:p>
    <w:p w:rsidR="00050249" w:rsidRPr="00622CD0" w:rsidRDefault="00050249" w:rsidP="00050249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  <w:lang w:eastAsia="fr-FR"/>
        </w:rPr>
      </w:pPr>
    </w:p>
    <w:p w:rsidR="006660C9" w:rsidRPr="00622CD0" w:rsidRDefault="00C04557" w:rsidP="00474C71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Du 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0</w:t>
      </w:r>
      <w:r w:rsidR="00474C71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8</w:t>
      </w:r>
      <w:r w:rsidR="00160EE3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janvier </w:t>
      </w:r>
      <w:r w:rsidR="00C5441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au</w:t>
      </w:r>
      <w:r w:rsidR="00754F6F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1</w:t>
      </w:r>
      <w:r w:rsidR="00754F6F" w:rsidRPr="00754F6F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vertAlign w:val="superscript"/>
          <w:lang w:eastAsia="fr-FR"/>
        </w:rPr>
        <w:t>er</w:t>
      </w:r>
      <w:r w:rsidR="00754F6F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mars 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2016</w:t>
      </w:r>
      <w:r w:rsidR="00160EE3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 :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Inscription des candidats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de manière simultanée,  dans chaque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université,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via un formulaire disponible </w:t>
      </w:r>
      <w:r w:rsidR="00651404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sur le site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web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des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université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s</w:t>
      </w:r>
      <w:r w:rsidR="004613AA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participante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s</w:t>
      </w:r>
      <w:r w:rsidR="00F17D86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.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C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e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formulaire 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d</w:t>
      </w:r>
      <w:r w:rsidR="0048450A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oit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être retourné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en format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« 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 xml:space="preserve">Image </w:t>
      </w:r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>S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>cannée</w:t>
      </w:r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> »</w:t>
      </w:r>
      <w:r w:rsidR="00301B29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 xml:space="preserve"> 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à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l’adresse électronique mentionnée dans le site web de l’université</w:t>
      </w:r>
      <w:r w:rsidR="004613AA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d’inscription du </w:t>
      </w:r>
      <w:r w:rsidR="00782D66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candidat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. </w:t>
      </w:r>
    </w:p>
    <w:p w:rsidR="00E0753E" w:rsidRPr="00622CD0" w:rsidRDefault="00E0753E" w:rsidP="00160EE3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p w:rsidR="006660C9" w:rsidRPr="00622CD0" w:rsidRDefault="00A7686B" w:rsidP="00474C71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Du </w:t>
      </w:r>
      <w:r w:rsidR="00754F6F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1</w:t>
      </w:r>
      <w:r w:rsidR="00754F6F" w:rsidRPr="00754F6F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vertAlign w:val="superscript"/>
          <w:lang w:eastAsia="fr-FR"/>
        </w:rPr>
        <w:t>er</w:t>
      </w:r>
      <w:r w:rsidR="00754F6F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au </w:t>
      </w:r>
      <w:r w:rsidR="00C045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3</w:t>
      </w:r>
      <w:r w:rsidR="00C5441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1</w:t>
      </w:r>
      <w:r w:rsidR="00C045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mars</w:t>
      </w: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 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2016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: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D05F65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Sélection des 24 candidats parmi les inscrits validés et o</w:t>
      </w:r>
      <w:r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rganisation d</w:t>
      </w:r>
      <w:r w:rsidR="00D05F65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’une formation spéciale préparatoire au concours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.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L</w:t>
      </w:r>
      <w:r w:rsidR="00D05F65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es formateurs sont ceux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ayant déjà</w:t>
      </w:r>
      <w:r w:rsidR="00D05F65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bénéficié de la formation organisée en 2015 dans chacun de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s 3 pôles régionaux du concours, </w:t>
      </w:r>
      <w:r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dispensé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e</w:t>
      </w:r>
      <w:r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par l’</w:t>
      </w:r>
      <w:r w:rsidR="00D11860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U</w:t>
      </w:r>
      <w:r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niversité de Lorraine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.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</w:p>
    <w:p w:rsidR="00C54410" w:rsidRPr="00622CD0" w:rsidRDefault="00C54410" w:rsidP="00C54410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p w:rsidR="00644762" w:rsidRPr="00622CD0" w:rsidRDefault="00A7686B" w:rsidP="00301B2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Du </w:t>
      </w:r>
      <w:r w:rsidR="00D1186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1</w:t>
      </w:r>
      <w:r w:rsidR="00F11CF5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er </w:t>
      </w:r>
      <w:r w:rsidR="00D1186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au </w:t>
      </w:r>
      <w:r w:rsidR="00C5441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30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C5441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avril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2016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644762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: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C54410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Organis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ation des finales universitaires au niveau de chaque université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.</w:t>
      </w:r>
      <w:r w:rsidR="00474C71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Deux doctorants seront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qualifié</w:t>
      </w:r>
      <w:r w:rsidR="00474C71">
        <w:rPr>
          <w:rFonts w:asciiTheme="majorHAnsi" w:eastAsia="Times New Roman" w:hAnsiTheme="majorHAnsi" w:cstheme="majorBidi"/>
          <w:sz w:val="24"/>
          <w:szCs w:val="24"/>
          <w:lang w:eastAsia="fr-FR"/>
        </w:rPr>
        <w:t>s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parmi les 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24 inscrits retenus.</w:t>
      </w:r>
    </w:p>
    <w:p w:rsidR="006660C9" w:rsidRPr="00622CD0" w:rsidRDefault="006660C9" w:rsidP="00CC0540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p w:rsidR="00F11CF5" w:rsidRPr="00622CD0" w:rsidRDefault="00734059" w:rsidP="00C84546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La semaine du 08 </w:t>
      </w:r>
      <w:r w:rsidR="00C8454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mai</w:t>
      </w: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2016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644762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: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Organisation d’une formation </w:t>
      </w:r>
      <w:r w:rsidR="00622CD0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de 2 jours 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préparatoire</w:t>
      </w:r>
      <w:r w:rsidR="00301B29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</w:t>
      </w:r>
      <w:r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à la finale n</w:t>
      </w:r>
      <w:r w:rsidR="00474C71">
        <w:rPr>
          <w:rFonts w:asciiTheme="majorHAnsi" w:eastAsia="Times New Roman" w:hAnsiTheme="majorHAnsi" w:cstheme="majorBidi"/>
          <w:sz w:val="24"/>
          <w:szCs w:val="24"/>
          <w:lang w:eastAsia="fr-FR"/>
        </w:rPr>
        <w:t>ationale du concours pour les 24</w:t>
      </w:r>
      <w:r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lauréa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ts des concours universitaires.</w:t>
      </w:r>
    </w:p>
    <w:p w:rsidR="006660C9" w:rsidRPr="00622CD0" w:rsidRDefault="006660C9" w:rsidP="006660C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p w:rsidR="004613AA" w:rsidRPr="00622CD0" w:rsidRDefault="00734059" w:rsidP="004613A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Le 26 mai 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2016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="0035436D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>:</w:t>
      </w:r>
      <w:r w:rsidR="00301B2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  <w:lang w:eastAsia="fr-FR"/>
        </w:rPr>
        <w:t xml:space="preserve"> </w:t>
      </w:r>
      <w:r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>Finale nationale du concours à Rabat</w:t>
      </w:r>
      <w:r w:rsidR="00474C71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réunissant les 24</w:t>
      </w:r>
      <w:r w:rsidR="004613AA" w:rsidRPr="00622CD0">
        <w:rPr>
          <w:rFonts w:asciiTheme="majorHAnsi" w:eastAsia="Times New Roman" w:hAnsiTheme="majorHAnsi" w:cstheme="majorBidi"/>
          <w:sz w:val="24"/>
          <w:szCs w:val="24"/>
          <w:lang w:eastAsia="fr-FR"/>
        </w:rPr>
        <w:t xml:space="preserve"> lauréats des concours universitaires.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 xml:space="preserve">3 finalistes seront retenus pour concourir </w:t>
      </w:r>
      <w:bookmarkStart w:id="0" w:name="_GoBack"/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>à</w:t>
      </w:r>
      <w:bookmarkEnd w:id="0"/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  <w:lang w:eastAsia="fr-FR"/>
        </w:rPr>
        <w:t xml:space="preserve"> la finale internationale.</w:t>
      </w:r>
    </w:p>
    <w:p w:rsidR="00F11CF5" w:rsidRPr="00622CD0" w:rsidRDefault="00F11CF5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p w:rsidR="00172157" w:rsidRPr="00622CD0" w:rsidRDefault="00172157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  <w:lang w:eastAsia="fr-FR"/>
        </w:rPr>
      </w:pPr>
    </w:p>
    <w:p w:rsidR="00172157" w:rsidRPr="00622CD0" w:rsidRDefault="00172157" w:rsidP="003E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Bidi"/>
          <w:b/>
          <w:color w:val="3366FF"/>
          <w:sz w:val="52"/>
          <w:szCs w:val="52"/>
          <w:lang w:eastAsia="fr-FR"/>
        </w:rPr>
      </w:pPr>
      <w:r w:rsidRPr="00622CD0">
        <w:rPr>
          <w:rFonts w:asciiTheme="majorHAnsi" w:eastAsia="Times New Roman" w:hAnsiTheme="majorHAnsi" w:cstheme="majorBidi"/>
          <w:b/>
          <w:color w:val="3366FF"/>
          <w:sz w:val="52"/>
          <w:szCs w:val="52"/>
          <w:lang w:eastAsia="fr-FR"/>
        </w:rPr>
        <w:t>FINALE INTERNATIONALE</w:t>
      </w:r>
    </w:p>
    <w:p w:rsidR="00172157" w:rsidRPr="00622CD0" w:rsidRDefault="00172157" w:rsidP="003E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Bidi"/>
          <w:b/>
          <w:color w:val="FF0000"/>
          <w:sz w:val="52"/>
          <w:szCs w:val="52"/>
          <w:lang w:eastAsia="fr-FR"/>
        </w:rPr>
      </w:pPr>
      <w:r w:rsidRPr="00622CD0">
        <w:rPr>
          <w:rFonts w:asciiTheme="majorHAnsi" w:eastAsia="Times New Roman" w:hAnsiTheme="majorHAnsi" w:cstheme="majorBidi"/>
          <w:b/>
          <w:color w:val="FF0000"/>
          <w:sz w:val="52"/>
          <w:szCs w:val="52"/>
          <w:lang w:eastAsia="fr-FR"/>
        </w:rPr>
        <w:t>Le JEUDI 29 SEPTEMBRE 2016 à 19h</w:t>
      </w:r>
    </w:p>
    <w:p w:rsidR="00172157" w:rsidRPr="00172157" w:rsidRDefault="00172157" w:rsidP="003E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Bidi"/>
          <w:b/>
          <w:color w:val="3366FF"/>
          <w:sz w:val="52"/>
          <w:szCs w:val="52"/>
          <w:lang w:eastAsia="fr-FR"/>
        </w:rPr>
      </w:pPr>
      <w:r w:rsidRPr="00622CD0">
        <w:rPr>
          <w:rFonts w:asciiTheme="majorHAnsi" w:eastAsia="Times New Roman" w:hAnsiTheme="majorHAnsi" w:cstheme="majorBidi"/>
          <w:b/>
          <w:color w:val="3366FF"/>
          <w:sz w:val="52"/>
          <w:szCs w:val="52"/>
          <w:lang w:eastAsia="fr-FR"/>
        </w:rPr>
        <w:t>AU THEATRE MOHAMMED V à RABAT</w:t>
      </w:r>
    </w:p>
    <w:sectPr w:rsidR="00172157" w:rsidRPr="00172157" w:rsidSect="003E1412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D0" w:rsidRDefault="00B62ED0" w:rsidP="00474C71">
      <w:pPr>
        <w:spacing w:after="0" w:line="240" w:lineRule="auto"/>
      </w:pPr>
      <w:r>
        <w:separator/>
      </w:r>
    </w:p>
  </w:endnote>
  <w:endnote w:type="continuationSeparator" w:id="1">
    <w:p w:rsidR="00B62ED0" w:rsidRDefault="00B62ED0" w:rsidP="0047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D0" w:rsidRDefault="00B62ED0" w:rsidP="00474C71">
      <w:pPr>
        <w:spacing w:after="0" w:line="240" w:lineRule="auto"/>
      </w:pPr>
      <w:r>
        <w:separator/>
      </w:r>
    </w:p>
  </w:footnote>
  <w:footnote w:type="continuationSeparator" w:id="1">
    <w:p w:rsidR="00B62ED0" w:rsidRDefault="00B62ED0" w:rsidP="0047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71" w:rsidRDefault="00474C71" w:rsidP="00474C71">
    <w:pPr>
      <w:pStyle w:val="En-tte"/>
      <w:tabs>
        <w:tab w:val="left" w:pos="777"/>
      </w:tabs>
    </w:pPr>
    <w:r>
      <w:tab/>
    </w:r>
    <w:r w:rsidRPr="00474C71">
      <w:drawing>
        <wp:inline distT="0" distB="0" distL="0" distR="0">
          <wp:extent cx="666750" cy="800100"/>
          <wp:effectExtent l="0" t="0" r="0" b="0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74C71">
      <w:drawing>
        <wp:inline distT="0" distB="0" distL="0" distR="0">
          <wp:extent cx="858194" cy="882032"/>
          <wp:effectExtent l="19050" t="0" r="0" b="0"/>
          <wp:docPr id="2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523" cy="884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4C71" w:rsidRDefault="00474C7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2E5E"/>
    <w:multiLevelType w:val="hybridMultilevel"/>
    <w:tmpl w:val="F9525D1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BE56F9"/>
    <w:multiLevelType w:val="hybridMultilevel"/>
    <w:tmpl w:val="C3E4B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959C7"/>
    <w:multiLevelType w:val="hybridMultilevel"/>
    <w:tmpl w:val="470885C6"/>
    <w:lvl w:ilvl="0" w:tplc="9BE8BB06">
      <w:start w:val="1"/>
      <w:numFmt w:val="lowerRoman"/>
      <w:lvlText w:val="%1)"/>
      <w:lvlJc w:val="left"/>
      <w:pPr>
        <w:ind w:left="1668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DEF"/>
    <w:rsid w:val="00020A6F"/>
    <w:rsid w:val="00026A20"/>
    <w:rsid w:val="00037CBB"/>
    <w:rsid w:val="00050249"/>
    <w:rsid w:val="00103AC7"/>
    <w:rsid w:val="001210B1"/>
    <w:rsid w:val="00126D51"/>
    <w:rsid w:val="00160EE3"/>
    <w:rsid w:val="00172157"/>
    <w:rsid w:val="00184826"/>
    <w:rsid w:val="001B4140"/>
    <w:rsid w:val="001E4AA5"/>
    <w:rsid w:val="001F0C53"/>
    <w:rsid w:val="00232BFF"/>
    <w:rsid w:val="00290E83"/>
    <w:rsid w:val="002A2768"/>
    <w:rsid w:val="002D651A"/>
    <w:rsid w:val="00301B29"/>
    <w:rsid w:val="0035436D"/>
    <w:rsid w:val="00361FE0"/>
    <w:rsid w:val="003C4AAD"/>
    <w:rsid w:val="003C6811"/>
    <w:rsid w:val="003D28A9"/>
    <w:rsid w:val="003E1412"/>
    <w:rsid w:val="003F48DB"/>
    <w:rsid w:val="004165CA"/>
    <w:rsid w:val="004362BB"/>
    <w:rsid w:val="004613AA"/>
    <w:rsid w:val="00462504"/>
    <w:rsid w:val="004669AE"/>
    <w:rsid w:val="00474C71"/>
    <w:rsid w:val="0048450A"/>
    <w:rsid w:val="004A035D"/>
    <w:rsid w:val="004F091E"/>
    <w:rsid w:val="00573681"/>
    <w:rsid w:val="005A0382"/>
    <w:rsid w:val="00622CD0"/>
    <w:rsid w:val="00644762"/>
    <w:rsid w:val="00651404"/>
    <w:rsid w:val="006568DE"/>
    <w:rsid w:val="006660C9"/>
    <w:rsid w:val="00702BCB"/>
    <w:rsid w:val="00703753"/>
    <w:rsid w:val="00734059"/>
    <w:rsid w:val="00754F6F"/>
    <w:rsid w:val="007642F7"/>
    <w:rsid w:val="00770306"/>
    <w:rsid w:val="00782D66"/>
    <w:rsid w:val="007F0592"/>
    <w:rsid w:val="00814A5A"/>
    <w:rsid w:val="008171B5"/>
    <w:rsid w:val="00852738"/>
    <w:rsid w:val="008639A1"/>
    <w:rsid w:val="00874690"/>
    <w:rsid w:val="008E61A3"/>
    <w:rsid w:val="0090097D"/>
    <w:rsid w:val="009178EB"/>
    <w:rsid w:val="00941D68"/>
    <w:rsid w:val="00942784"/>
    <w:rsid w:val="00961D46"/>
    <w:rsid w:val="009C7FC8"/>
    <w:rsid w:val="009D6632"/>
    <w:rsid w:val="00A006C5"/>
    <w:rsid w:val="00A135C1"/>
    <w:rsid w:val="00A51ABE"/>
    <w:rsid w:val="00A7686B"/>
    <w:rsid w:val="00A815E3"/>
    <w:rsid w:val="00A87ADE"/>
    <w:rsid w:val="00A90B2D"/>
    <w:rsid w:val="00A93A90"/>
    <w:rsid w:val="00AB0164"/>
    <w:rsid w:val="00AB2333"/>
    <w:rsid w:val="00B62ED0"/>
    <w:rsid w:val="00B74CE4"/>
    <w:rsid w:val="00B9663F"/>
    <w:rsid w:val="00BD6531"/>
    <w:rsid w:val="00C04557"/>
    <w:rsid w:val="00C54410"/>
    <w:rsid w:val="00C574A3"/>
    <w:rsid w:val="00C65EA8"/>
    <w:rsid w:val="00C84546"/>
    <w:rsid w:val="00CC0540"/>
    <w:rsid w:val="00CC5D62"/>
    <w:rsid w:val="00CF2B96"/>
    <w:rsid w:val="00CF3DEF"/>
    <w:rsid w:val="00D05F65"/>
    <w:rsid w:val="00D11860"/>
    <w:rsid w:val="00D23B98"/>
    <w:rsid w:val="00D40BEB"/>
    <w:rsid w:val="00D45BA7"/>
    <w:rsid w:val="00D70766"/>
    <w:rsid w:val="00D82F5A"/>
    <w:rsid w:val="00D836A7"/>
    <w:rsid w:val="00D83BBF"/>
    <w:rsid w:val="00DA5131"/>
    <w:rsid w:val="00E0753E"/>
    <w:rsid w:val="00E46272"/>
    <w:rsid w:val="00E70618"/>
    <w:rsid w:val="00E70BC1"/>
    <w:rsid w:val="00F11CF5"/>
    <w:rsid w:val="00F17D86"/>
    <w:rsid w:val="00F53C78"/>
    <w:rsid w:val="00FD3968"/>
    <w:rsid w:val="00FF0F14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60C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C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C71"/>
  </w:style>
  <w:style w:type="paragraph" w:styleId="Pieddepage">
    <w:name w:val="footer"/>
    <w:basedOn w:val="Normal"/>
    <w:link w:val="PieddepageCar"/>
    <w:uiPriority w:val="99"/>
    <w:semiHidden/>
    <w:unhideWhenUsed/>
    <w:rsid w:val="0047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4C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boutmoudit</cp:lastModifiedBy>
  <cp:revision>6</cp:revision>
  <cp:lastPrinted>2013-08-01T11:53:00Z</cp:lastPrinted>
  <dcterms:created xsi:type="dcterms:W3CDTF">2016-01-06T18:08:00Z</dcterms:created>
  <dcterms:modified xsi:type="dcterms:W3CDTF">2016-02-13T19:02:00Z</dcterms:modified>
</cp:coreProperties>
</file>